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518065.xml.htm"/>
      <w:bookmarkStart w:id="1" w:name="kswkform4_178051806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Pence John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ASURE SOFTWARE,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405 COLORADO STREET, SUITE 1800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ASURE SOFTWARE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04"/>
        <w:gridCol w:w="902"/>
        <w:gridCol w:w="771"/>
        <w:gridCol w:w="599"/>
        <w:gridCol w:w="352"/>
        <w:gridCol w:w="817"/>
        <w:gridCol w:w="465"/>
        <w:gridCol w:w="678"/>
        <w:gridCol w:w="1180"/>
        <w:gridCol w:w="1010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Asure Software, Inc. Common Stock ($0.01 par value)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628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9.66</w:t>
            </w:r>
            <w:r>
              <w:rPr/>
              <w:t xml:space="preserve"> </w:t>
            </w:r>
          </w:p>
        </w:tc>
        <w:tc>
          <w:tcPr>
            <w:tcW w:w="11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301,070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represent the payment of tax liability associated with the vesting of restricted stock units that were originally awarded as settlement of performance stock units on February 27,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Pence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3751" TargetMode="External"/><Relationship Id="rId5" Type="http://schemas.openxmlformats.org/officeDocument/2006/relationships/hyperlink" Target="http://www.sec.gov/cgi-bin/browse-edgar?action=getcompany&amp;CIK=00008841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602</Words>
  <Characters>3264</Characters>
  <CharactersWithSpaces>3806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