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1731.xml.htm"/>
      <w:bookmarkStart w:id="1" w:name="kswkform4_17883817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Pence John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ASURE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405 COLORADO STREET, 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ASURE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04"/>
        <w:gridCol w:w="902"/>
        <w:gridCol w:w="771"/>
        <w:gridCol w:w="599"/>
        <w:gridCol w:w="352"/>
        <w:gridCol w:w="817"/>
        <w:gridCol w:w="465"/>
        <w:gridCol w:w="678"/>
        <w:gridCol w:w="1180"/>
        <w:gridCol w:w="1010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628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9.06</w:t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296,562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the payment of tax liability associated with the vesting of restricted stock units that were originally awarded as settlement of performance stock units on January 1,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Pence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3751" TargetMode="External"/><Relationship Id="rId5" Type="http://schemas.openxmlformats.org/officeDocument/2006/relationships/hyperlink" Target="http://www.sec.gov/cgi-bin/browse-edgar?action=getcompany&amp;CIK=00008841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3282</Characters>
  <CharactersWithSpaces>3818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