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81898.xml.htm"/>
      <w:bookmarkStart w:id="1" w:name="kswkform4_178588189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Pence John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04"/>
        <w:gridCol w:w="902"/>
        <w:gridCol w:w="771"/>
        <w:gridCol w:w="599"/>
        <w:gridCol w:w="352"/>
        <w:gridCol w:w="817"/>
        <w:gridCol w:w="465"/>
        <w:gridCol w:w="678"/>
        <w:gridCol w:w="1180"/>
        <w:gridCol w:w="1010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8.76</w:t>
            </w:r>
          </w:p>
        </w:tc>
        <w:tc>
          <w:tcPr>
            <w:tcW w:w="11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297,190</w:t>
            </w:r>
          </w:p>
        </w:tc>
        <w:tc>
          <w:tcPr>
            <w:tcW w:w="10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tax liability associated with the vesting of restricted stock units that were originally awarded as settlement of performance stock units on January 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Pence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3751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3282</Characters>
  <CharactersWithSpaces>3818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